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ID Rooms 8371248198412</w:t>
      </w:r>
    </w:p>
    <w:p w:rsidR="00000000" w:rsidDel="00000000" w:rsidP="00000000" w:rsidRDefault="00000000" w:rsidRPr="00000000" w14:paraId="00000002">
      <w:pPr>
        <w:jc w:val="center"/>
        <w:rPr>
          <w:rFonts w:ascii="Caveat" w:cs="Caveat" w:eastAsia="Caveat" w:hAnsi="Caveat"/>
          <w:sz w:val="60"/>
          <w:szCs w:val="60"/>
        </w:rPr>
      </w:pPr>
      <w:hyperlink r:id="rId6">
        <w:r w:rsidDel="00000000" w:rsidR="00000000" w:rsidRPr="00000000">
          <w:rPr>
            <w:rFonts w:ascii="Caveat" w:cs="Caveat" w:eastAsia="Caveat" w:hAnsi="Caveat"/>
            <w:color w:val="1155cc"/>
            <w:sz w:val="60"/>
            <w:szCs w:val="60"/>
            <w:u w:val="single"/>
            <w:rtl w:val="0"/>
          </w:rPr>
          <w:t xml:space="preserve">VIEW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veat" w:cs="Caveat" w:eastAsia="Caveat" w:hAnsi="Caveat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sz w:val="60"/>
          <w:szCs w:val="60"/>
        </w:rPr>
        <w:drawing>
          <wp:inline distB="114300" distT="114300" distL="114300" distR="114300">
            <wp:extent cx="5731200" cy="5816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Caveat" w:cs="Caveat" w:eastAsia="Caveat" w:hAnsi="Cave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Caveat" w:cs="Caveat" w:eastAsia="Caveat" w:hAnsi="Caveat"/>
          <w:sz w:val="18"/>
          <w:szCs w:val="18"/>
        </w:rPr>
      </w:pPr>
      <w:hyperlink r:id="rId8">
        <w:r w:rsidDel="00000000" w:rsidR="00000000" w:rsidRPr="00000000">
          <w:rPr>
            <w:rFonts w:ascii="Caveat" w:cs="Caveat" w:eastAsia="Caveat" w:hAnsi="Caveat"/>
            <w:color w:val="1155cc"/>
            <w:sz w:val="18"/>
            <w:szCs w:val="18"/>
            <w:u w:val="single"/>
            <w:rtl w:val="0"/>
          </w:rPr>
          <w:t xml:space="preserve">unsubscribe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glycnoxeco.work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glycnoxeco.work/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